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831E" w14:textId="4FE9F27B" w:rsidR="000F3189" w:rsidRDefault="00045153" w:rsidP="00045153">
      <w:pPr>
        <w:jc w:val="center"/>
        <w:rPr>
          <w:b/>
          <w:bCs/>
        </w:rPr>
      </w:pPr>
      <w:r>
        <w:rPr>
          <w:b/>
          <w:bCs/>
        </w:rPr>
        <w:t xml:space="preserve">ASCC Arts and Humanities 1 Panel </w:t>
      </w:r>
    </w:p>
    <w:p w14:paraId="5D083153" w14:textId="417DA76D" w:rsidR="00045153" w:rsidRDefault="003015F5" w:rsidP="00045153">
      <w:pPr>
        <w:jc w:val="center"/>
      </w:pPr>
      <w:r>
        <w:t>A</w:t>
      </w:r>
      <w:r w:rsidR="00C1525E">
        <w:t xml:space="preserve">pproved </w:t>
      </w:r>
      <w:r w:rsidR="00045153">
        <w:t>Minutes</w:t>
      </w:r>
    </w:p>
    <w:p w14:paraId="5D10BC93" w14:textId="018CAD7B" w:rsidR="00045153" w:rsidRDefault="00045153" w:rsidP="00045153">
      <w:r>
        <w:t>Wednesday, May 3</w:t>
      </w:r>
      <w:r w:rsidRPr="00045153">
        <w:rPr>
          <w:vertAlign w:val="superscript"/>
        </w:rPr>
        <w:t>rd</w:t>
      </w:r>
      <w:r>
        <w:t xml:space="preserve">, </w:t>
      </w:r>
      <w:proofErr w:type="gramStart"/>
      <w:r>
        <w:t>2023</w:t>
      </w:r>
      <w:proofErr w:type="gramEnd"/>
      <w:r>
        <w:tab/>
      </w:r>
      <w:r>
        <w:tab/>
      </w:r>
      <w:r>
        <w:tab/>
      </w:r>
      <w:r>
        <w:tab/>
      </w:r>
      <w:r>
        <w:tab/>
      </w:r>
      <w:r>
        <w:tab/>
      </w:r>
      <w:r>
        <w:tab/>
        <w:t xml:space="preserve">      10:30AM – 12:00PM</w:t>
      </w:r>
    </w:p>
    <w:p w14:paraId="0CE7F94A" w14:textId="6C87A04B" w:rsidR="00045153" w:rsidRDefault="00045153" w:rsidP="00045153">
      <w:proofErr w:type="spellStart"/>
      <w:r>
        <w:t>CarmenZoom</w:t>
      </w:r>
      <w:proofErr w:type="spellEnd"/>
    </w:p>
    <w:p w14:paraId="2A1D4FD0" w14:textId="418BAE10" w:rsidR="00045153" w:rsidRDefault="00045153" w:rsidP="00045153"/>
    <w:p w14:paraId="26A16AF0" w14:textId="1A089D2B" w:rsidR="00045153" w:rsidRDefault="00045153" w:rsidP="00045153">
      <w:r>
        <w:rPr>
          <w:b/>
          <w:bCs/>
        </w:rPr>
        <w:t xml:space="preserve">Attendees: </w:t>
      </w:r>
      <w:r>
        <w:t>Bitters, Blackburn, Hilty, Koehnlein, Podalsky, Smith, Staley, Vankeerbergen</w:t>
      </w:r>
    </w:p>
    <w:p w14:paraId="57822A20" w14:textId="3796ED9C" w:rsidR="00045153" w:rsidRDefault="00045153" w:rsidP="00045153"/>
    <w:p w14:paraId="3426474C" w14:textId="7F5B4643" w:rsidR="00045153" w:rsidRDefault="00045153" w:rsidP="00045153">
      <w:pPr>
        <w:pStyle w:val="ListParagraph"/>
        <w:numPr>
          <w:ilvl w:val="0"/>
          <w:numId w:val="1"/>
        </w:numPr>
      </w:pPr>
      <w:r>
        <w:t>Approval of 04/19/2023 Minutes</w:t>
      </w:r>
    </w:p>
    <w:p w14:paraId="6BA37CD0" w14:textId="1E8EC4AE" w:rsidR="00045153" w:rsidRDefault="00045153" w:rsidP="00045153">
      <w:pPr>
        <w:pStyle w:val="ListParagraph"/>
        <w:numPr>
          <w:ilvl w:val="1"/>
          <w:numId w:val="1"/>
        </w:numPr>
      </w:pPr>
      <w:r>
        <w:t xml:space="preserve">Blackburn, Koehnlein, </w:t>
      </w:r>
      <w:r>
        <w:rPr>
          <w:b/>
          <w:bCs/>
        </w:rPr>
        <w:t xml:space="preserve">unanimously </w:t>
      </w:r>
      <w:proofErr w:type="gramStart"/>
      <w:r>
        <w:rPr>
          <w:b/>
          <w:bCs/>
        </w:rPr>
        <w:t>approved</w:t>
      </w:r>
      <w:proofErr w:type="gramEnd"/>
      <w:r>
        <w:rPr>
          <w:b/>
          <w:bCs/>
        </w:rPr>
        <w:t xml:space="preserve"> </w:t>
      </w:r>
    </w:p>
    <w:p w14:paraId="661C0001" w14:textId="4CA1B3D9" w:rsidR="00045153" w:rsidRDefault="00045153" w:rsidP="00045153">
      <w:pPr>
        <w:pStyle w:val="ListParagraph"/>
        <w:numPr>
          <w:ilvl w:val="0"/>
          <w:numId w:val="1"/>
        </w:numPr>
      </w:pPr>
      <w:r>
        <w:t>Dance 5500 (new course requesting 100% DL)</w:t>
      </w:r>
    </w:p>
    <w:p w14:paraId="727D5C3A" w14:textId="01844B94" w:rsidR="00045153" w:rsidRPr="00045153" w:rsidRDefault="00045153" w:rsidP="00045153">
      <w:pPr>
        <w:pStyle w:val="ListParagraph"/>
        <w:numPr>
          <w:ilvl w:val="1"/>
          <w:numId w:val="1"/>
        </w:numPr>
      </w:pPr>
      <w:r>
        <w:rPr>
          <w:i/>
          <w:iCs/>
        </w:rPr>
        <w:t xml:space="preserve">The Panel kindly points out on page 5 of the syllabus, for “Analyzing Work 2”, this assignment says it is worth 15 points. However, in the chart above, it is mentioned as being worth 20 points. They recommend that the narrative description of the assignment be updated to say 20 points, as that appears to be the numeric value that ensures these equal to 100 in total. </w:t>
      </w:r>
    </w:p>
    <w:p w14:paraId="4B542137" w14:textId="6AC98AB3" w:rsidR="00045153" w:rsidRDefault="00045153" w:rsidP="00045153">
      <w:pPr>
        <w:pStyle w:val="ListParagraph"/>
        <w:numPr>
          <w:ilvl w:val="1"/>
          <w:numId w:val="1"/>
        </w:numPr>
      </w:pPr>
      <w:r>
        <w:t xml:space="preserve">Podalsky, Koehnlein, </w:t>
      </w:r>
      <w:r>
        <w:rPr>
          <w:b/>
          <w:bCs/>
        </w:rPr>
        <w:t xml:space="preserve">unanimously approved </w:t>
      </w:r>
      <w:r>
        <w:t xml:space="preserve">with </w:t>
      </w:r>
      <w:r>
        <w:rPr>
          <w:i/>
          <w:iCs/>
        </w:rPr>
        <w:t xml:space="preserve">one recommendation </w:t>
      </w:r>
      <w:r>
        <w:t xml:space="preserve">(in italics above) </w:t>
      </w:r>
    </w:p>
    <w:p w14:paraId="50DAD469" w14:textId="261A7E51" w:rsidR="00045153" w:rsidRDefault="00045153" w:rsidP="00045153">
      <w:pPr>
        <w:pStyle w:val="ListParagraph"/>
        <w:numPr>
          <w:ilvl w:val="0"/>
          <w:numId w:val="1"/>
        </w:numPr>
      </w:pPr>
      <w:r>
        <w:t xml:space="preserve">History 2500 (existing course with GEL Historical Study, GEL Diversity – Global Studies, and GEN Foundation: Historical and Cultural Studies; requesting 100% DL) </w:t>
      </w:r>
    </w:p>
    <w:p w14:paraId="616CBE65" w14:textId="04FE2D0B" w:rsidR="00045153" w:rsidRPr="00045153" w:rsidRDefault="00045153" w:rsidP="00045153">
      <w:pPr>
        <w:pStyle w:val="ListParagraph"/>
        <w:numPr>
          <w:ilvl w:val="1"/>
          <w:numId w:val="1"/>
        </w:numPr>
      </w:pPr>
      <w:r>
        <w:rPr>
          <w:b/>
          <w:bCs/>
        </w:rPr>
        <w:t xml:space="preserve">The Panel asks that a list of all required course materials and readings be provided within the course syllabus. </w:t>
      </w:r>
    </w:p>
    <w:p w14:paraId="2612A955" w14:textId="7A300405" w:rsidR="00045153" w:rsidRDefault="00045153" w:rsidP="00045153">
      <w:pPr>
        <w:pStyle w:val="ListParagraph"/>
        <w:numPr>
          <w:ilvl w:val="1"/>
          <w:numId w:val="1"/>
        </w:numPr>
      </w:pPr>
      <w:r>
        <w:t xml:space="preserve">Blackburn, Koehnlein, </w:t>
      </w:r>
      <w:r>
        <w:rPr>
          <w:b/>
          <w:bCs/>
        </w:rPr>
        <w:t xml:space="preserve">unanimously approved </w:t>
      </w:r>
      <w:r>
        <w:t xml:space="preserve">with </w:t>
      </w:r>
      <w:r>
        <w:rPr>
          <w:b/>
          <w:bCs/>
        </w:rPr>
        <w:t xml:space="preserve">one contingency </w:t>
      </w:r>
      <w:r>
        <w:t xml:space="preserve">(in bold above) </w:t>
      </w:r>
    </w:p>
    <w:p w14:paraId="1F1734D8" w14:textId="5FC1477B" w:rsidR="00045153" w:rsidRDefault="00045153" w:rsidP="00045153">
      <w:pPr>
        <w:pStyle w:val="ListParagraph"/>
        <w:numPr>
          <w:ilvl w:val="0"/>
          <w:numId w:val="1"/>
        </w:numPr>
      </w:pPr>
      <w:r>
        <w:t xml:space="preserve">Philosophy 2120 (existing course with GEL Literature, GEL Diversity – Global Studies, and GEN Foundation: Literary, Visual, and Performing Arts; requesting GEN Foundation: Historical and Cultural Studies) </w:t>
      </w:r>
    </w:p>
    <w:p w14:paraId="14E02BA7" w14:textId="596EE6E7" w:rsidR="00045153" w:rsidRPr="00045153" w:rsidRDefault="00045153" w:rsidP="00045153">
      <w:pPr>
        <w:pStyle w:val="ListParagraph"/>
        <w:numPr>
          <w:ilvl w:val="1"/>
          <w:numId w:val="1"/>
        </w:numPr>
      </w:pPr>
      <w:r>
        <w:rPr>
          <w:b/>
          <w:bCs/>
        </w:rPr>
        <w:t xml:space="preserve">The Panel asks that the course calendar be reworked to fit within a 14-week semester, rather than a 16-week semester, as the university conducts business on 14-week semesters. </w:t>
      </w:r>
    </w:p>
    <w:p w14:paraId="0E9D1485" w14:textId="4E243583" w:rsidR="00045153" w:rsidRPr="00045153" w:rsidRDefault="00045153" w:rsidP="00045153">
      <w:pPr>
        <w:pStyle w:val="ListParagraph"/>
        <w:numPr>
          <w:ilvl w:val="1"/>
          <w:numId w:val="1"/>
        </w:numPr>
      </w:pPr>
      <w:r>
        <w:rPr>
          <w:b/>
          <w:bCs/>
        </w:rPr>
        <w:t xml:space="preserve">The Panel asks that a list of all required course materials and readings be provided within the course syllabus. </w:t>
      </w:r>
    </w:p>
    <w:p w14:paraId="5E25B070" w14:textId="5896422D" w:rsidR="00045153" w:rsidRPr="00C1525E" w:rsidRDefault="00045153" w:rsidP="00045153">
      <w:pPr>
        <w:pStyle w:val="ListParagraph"/>
        <w:numPr>
          <w:ilvl w:val="1"/>
          <w:numId w:val="1"/>
        </w:numPr>
      </w:pPr>
      <w:r>
        <w:rPr>
          <w:b/>
          <w:bCs/>
        </w:rPr>
        <w:t xml:space="preserve">On page 6 of the syllabus, under the “All the Boring Stuff That Nobody Reads but We’re Required to Include </w:t>
      </w:r>
      <w:proofErr w:type="gramStart"/>
      <w:r>
        <w:rPr>
          <w:b/>
          <w:bCs/>
        </w:rPr>
        <w:t>TL;DR</w:t>
      </w:r>
      <w:proofErr w:type="gramEnd"/>
      <w:r>
        <w:rPr>
          <w:b/>
          <w:bCs/>
        </w:rPr>
        <w:t xml:space="preserve">” section, the final bullet point mentions that “This counts as </w:t>
      </w:r>
      <w:r>
        <w:rPr>
          <w:b/>
          <w:bCs/>
          <w:i/>
          <w:iCs/>
        </w:rPr>
        <w:t xml:space="preserve">Cultures and Ideas </w:t>
      </w:r>
      <w:r w:rsidR="0044411F">
        <w:rPr>
          <w:b/>
          <w:bCs/>
        </w:rPr>
        <w:t xml:space="preserve">the old GE and </w:t>
      </w:r>
      <w:r w:rsidR="0044411F">
        <w:rPr>
          <w:b/>
          <w:bCs/>
          <w:i/>
          <w:iCs/>
        </w:rPr>
        <w:t>Literary, Visual, and Performing Arts</w:t>
      </w:r>
      <w:r w:rsidR="0044411F">
        <w:rPr>
          <w:b/>
          <w:bCs/>
        </w:rPr>
        <w:t xml:space="preserve"> in the new GE”. However, this course has never been approved for GEL Cultures and Ideas. It is currently approved for GEL Literature and GEL Diversity – Global Studies. The Panel asks that this reference to GEL Cultures and Ideas be removed and that the course’s approved legacy categories (Literature and Diversity – Global Studies) and newly approved GEN Foundation: Historical and Cultural Studies be added. </w:t>
      </w:r>
    </w:p>
    <w:p w14:paraId="2C3B8883" w14:textId="402B0E58" w:rsidR="00C1525E" w:rsidRPr="0044411F" w:rsidRDefault="00C1525E" w:rsidP="00045153">
      <w:pPr>
        <w:pStyle w:val="ListParagraph"/>
        <w:numPr>
          <w:ilvl w:val="1"/>
          <w:numId w:val="1"/>
        </w:numPr>
      </w:pPr>
      <w:r>
        <w:rPr>
          <w:i/>
          <w:iCs/>
        </w:rPr>
        <w:t xml:space="preserve">The Panel recommends using less judgmental language surrounding the required syllabus statements (as found on page 6 of the syllabus with the title “All the Boring Stuff That Nobody Reads but We’re Required to Include”). This information can be very </w:t>
      </w:r>
      <w:r>
        <w:rPr>
          <w:i/>
          <w:iCs/>
        </w:rPr>
        <w:lastRenderedPageBreak/>
        <w:t xml:space="preserve">important and vital to some </w:t>
      </w:r>
      <w:proofErr w:type="gramStart"/>
      <w:r>
        <w:rPr>
          <w:i/>
          <w:iCs/>
        </w:rPr>
        <w:t>students</w:t>
      </w:r>
      <w:proofErr w:type="gramEnd"/>
      <w:r>
        <w:rPr>
          <w:i/>
          <w:iCs/>
        </w:rPr>
        <w:t xml:space="preserve"> and </w:t>
      </w:r>
      <w:r w:rsidR="00ED2784">
        <w:rPr>
          <w:i/>
          <w:iCs/>
        </w:rPr>
        <w:t xml:space="preserve">they </w:t>
      </w:r>
      <w:r>
        <w:rPr>
          <w:i/>
          <w:iCs/>
        </w:rPr>
        <w:t xml:space="preserve">worry that the way it is currently phrased could deter students from reading this important information. </w:t>
      </w:r>
    </w:p>
    <w:p w14:paraId="17759423" w14:textId="486762A4" w:rsidR="0044411F" w:rsidRPr="0044411F" w:rsidRDefault="0044411F" w:rsidP="00045153">
      <w:pPr>
        <w:pStyle w:val="ListParagraph"/>
        <w:numPr>
          <w:ilvl w:val="1"/>
          <w:numId w:val="1"/>
        </w:numPr>
      </w:pPr>
      <w:r>
        <w:rPr>
          <w:i/>
          <w:iCs/>
        </w:rPr>
        <w:t xml:space="preserve">The Panel recommends, on page 1 of the syllabus, to remove the statement “In accordance with current OSU policies, this class will be taught in-person. Attendance over Zoom counts as an absence which can be explained at the end of the semester”. There is no official OSU policy surrounding attendance nor is there policy stating that Zoom attendance should be counted as an absence, unless the Department of Philosophy has an internal policy. </w:t>
      </w:r>
    </w:p>
    <w:p w14:paraId="41400924" w14:textId="3B6A61E6" w:rsidR="0044411F" w:rsidRPr="008E232A" w:rsidRDefault="0044411F" w:rsidP="00045153">
      <w:pPr>
        <w:pStyle w:val="ListParagraph"/>
        <w:numPr>
          <w:ilvl w:val="1"/>
          <w:numId w:val="1"/>
        </w:numPr>
      </w:pPr>
      <w:r>
        <w:rPr>
          <w:i/>
          <w:iCs/>
        </w:rPr>
        <w:t xml:space="preserve">The Panel recommends updating the Student Life – Disability Services and Mental Health statements, as they were updated at the beginning of the 2022-2023 Academic Year. The most up-to-date statements can be found on the ASC Curriculum and Assessment Services website at: </w:t>
      </w:r>
      <w:hyperlink r:id="rId5" w:history="1">
        <w:r w:rsidR="008E232A" w:rsidRPr="00DA53ED">
          <w:rPr>
            <w:rStyle w:val="Hyperlink"/>
            <w:i/>
            <w:iCs/>
          </w:rPr>
          <w:t>https://asccas.osu.edu/curriculum/syllabus-elements</w:t>
        </w:r>
      </w:hyperlink>
      <w:r w:rsidR="008E232A">
        <w:rPr>
          <w:i/>
          <w:iCs/>
        </w:rPr>
        <w:t xml:space="preserve">. </w:t>
      </w:r>
    </w:p>
    <w:p w14:paraId="7B3A79DD" w14:textId="238FF372" w:rsidR="008E232A" w:rsidRDefault="008E232A" w:rsidP="00045153">
      <w:pPr>
        <w:pStyle w:val="ListParagraph"/>
        <w:numPr>
          <w:ilvl w:val="1"/>
          <w:numId w:val="1"/>
        </w:numPr>
      </w:pPr>
      <w:r>
        <w:t xml:space="preserve">Podalsky, Blackburn, </w:t>
      </w:r>
      <w:r>
        <w:rPr>
          <w:b/>
          <w:bCs/>
        </w:rPr>
        <w:t xml:space="preserve">unanimously approved </w:t>
      </w:r>
      <w:r>
        <w:t xml:space="preserve">with </w:t>
      </w:r>
      <w:r>
        <w:rPr>
          <w:b/>
          <w:bCs/>
        </w:rPr>
        <w:t xml:space="preserve">three contingencies </w:t>
      </w:r>
      <w:r>
        <w:t xml:space="preserve">(in bold above) and </w:t>
      </w:r>
      <w:r>
        <w:rPr>
          <w:i/>
          <w:iCs/>
        </w:rPr>
        <w:t>t</w:t>
      </w:r>
      <w:r w:rsidR="00C1525E">
        <w:rPr>
          <w:i/>
          <w:iCs/>
        </w:rPr>
        <w:t>hree</w:t>
      </w:r>
      <w:r>
        <w:rPr>
          <w:i/>
          <w:iCs/>
        </w:rPr>
        <w:t xml:space="preserve"> recommendations </w:t>
      </w:r>
      <w:r>
        <w:t xml:space="preserve">(in italics above) </w:t>
      </w:r>
    </w:p>
    <w:p w14:paraId="13C2DD1E" w14:textId="49CDDD67" w:rsidR="008E232A" w:rsidRDefault="008E232A" w:rsidP="008E232A">
      <w:pPr>
        <w:pStyle w:val="ListParagraph"/>
        <w:numPr>
          <w:ilvl w:val="0"/>
          <w:numId w:val="1"/>
        </w:numPr>
      </w:pPr>
      <w:r>
        <w:t xml:space="preserve">Classics 3301 (new course requesting GEN Theme: Citizenship for a Diverse and Just World) </w:t>
      </w:r>
    </w:p>
    <w:p w14:paraId="79B39AA5" w14:textId="00F2636A" w:rsidR="008E232A" w:rsidRDefault="008E232A" w:rsidP="008E232A">
      <w:pPr>
        <w:pStyle w:val="ListParagraph"/>
        <w:numPr>
          <w:ilvl w:val="1"/>
          <w:numId w:val="1"/>
        </w:numPr>
      </w:pPr>
      <w:r>
        <w:t xml:space="preserve">The Panel would like to let the department know that History 3222, “The Roman Empire, 69-337 CE”, was recently approved for GEN Theme: Citizenship for a Diverse and Just World. More information can be found on </w:t>
      </w:r>
      <w:proofErr w:type="spellStart"/>
      <w:r>
        <w:t>ASCNet</w:t>
      </w:r>
      <w:proofErr w:type="spellEnd"/>
      <w:r>
        <w:t xml:space="preserve"> at: </w:t>
      </w:r>
      <w:hyperlink r:id="rId6" w:history="1">
        <w:r w:rsidRPr="00DA53ED">
          <w:rPr>
            <w:rStyle w:val="Hyperlink"/>
          </w:rPr>
          <w:t>https://ascnet.osu.edu/request/5163</w:t>
        </w:r>
      </w:hyperlink>
      <w:r>
        <w:t xml:space="preserve">. They believe it may be useful for your unit to know given that courses are similar in the time period being covered. </w:t>
      </w:r>
    </w:p>
    <w:p w14:paraId="3EEAA24E" w14:textId="30B608C5" w:rsidR="008E232A" w:rsidRDefault="008E232A" w:rsidP="008E232A">
      <w:pPr>
        <w:pStyle w:val="ListParagraph"/>
        <w:numPr>
          <w:ilvl w:val="1"/>
          <w:numId w:val="1"/>
        </w:numPr>
      </w:pPr>
      <w:r>
        <w:t xml:space="preserve">Blackburn, Podalsky, </w:t>
      </w:r>
      <w:r>
        <w:rPr>
          <w:b/>
          <w:bCs/>
        </w:rPr>
        <w:t xml:space="preserve">unanimously approved </w:t>
      </w:r>
      <w:r>
        <w:t xml:space="preserve">with one </w:t>
      </w:r>
      <w:proofErr w:type="gramStart"/>
      <w:r>
        <w:t>comment</w:t>
      </w:r>
      <w:proofErr w:type="gramEnd"/>
    </w:p>
    <w:p w14:paraId="527B3220" w14:textId="7FE24724" w:rsidR="008E232A" w:rsidRDefault="008E232A" w:rsidP="008E232A">
      <w:pPr>
        <w:pStyle w:val="ListParagraph"/>
        <w:numPr>
          <w:ilvl w:val="0"/>
          <w:numId w:val="1"/>
        </w:numPr>
      </w:pPr>
      <w:r>
        <w:t xml:space="preserve">Classics 3302 (new course requesting GEN Theme: Citizenship for a Diverse and Just World) </w:t>
      </w:r>
    </w:p>
    <w:p w14:paraId="3F6D6A42" w14:textId="6B077292" w:rsidR="008E232A" w:rsidRDefault="008E232A" w:rsidP="008E232A">
      <w:pPr>
        <w:pStyle w:val="ListParagraph"/>
        <w:numPr>
          <w:ilvl w:val="1"/>
          <w:numId w:val="1"/>
        </w:numPr>
      </w:pPr>
      <w:r>
        <w:t xml:space="preserve">The Panel noticed that the course proposer did not use the official Theme response form for the GEN Theme: Citizenship for a Diverse and Just World application. While the information on the official worksheet is almost identical to the questions being answered, there is one additional question that asks the proposer to think about how this course will fit, broadly, into the general Theme. Given that the Themes Panel will not reconvene until the Autumn semester, </w:t>
      </w:r>
      <w:r w:rsidR="008C0C29">
        <w:t xml:space="preserve">they </w:t>
      </w:r>
      <w:r w:rsidR="00ED636A">
        <w:t xml:space="preserve">offer the suggestion to utilize the correct form (found on the Office of Academic Affairs website at: </w:t>
      </w:r>
      <w:hyperlink r:id="rId7" w:history="1">
        <w:r w:rsidR="00ED636A" w:rsidRPr="00DA53ED">
          <w:rPr>
            <w:rStyle w:val="Hyperlink"/>
          </w:rPr>
          <w:t>https://oaa.osu.edu/ge-course-submission</w:t>
        </w:r>
      </w:hyperlink>
      <w:r w:rsidR="00ED636A">
        <w:t xml:space="preserve">) to answer this question and email that to Michael Hilty.70, ASC Curriculum and Assessment Coordinator, who will ensure that form will be reviewed by the Themes Panel. </w:t>
      </w:r>
    </w:p>
    <w:p w14:paraId="4E333F2B" w14:textId="6F5F5E57" w:rsidR="000E1979" w:rsidRPr="000E1979" w:rsidRDefault="000E1979" w:rsidP="008E232A">
      <w:pPr>
        <w:pStyle w:val="ListParagraph"/>
        <w:numPr>
          <w:ilvl w:val="1"/>
          <w:numId w:val="1"/>
        </w:numPr>
      </w:pPr>
      <w:r>
        <w:rPr>
          <w:i/>
          <w:iCs/>
        </w:rPr>
        <w:t xml:space="preserve">The Panel recommends standardizing the language used to discuss the Final Project (as discussed on page 4 of the syllabus), as sometimes it appears to be called a final paper and may confuse students. </w:t>
      </w:r>
    </w:p>
    <w:p w14:paraId="17C340E7" w14:textId="24683E85" w:rsidR="00ED636A" w:rsidRPr="000E1979" w:rsidRDefault="000E1979" w:rsidP="008E232A">
      <w:pPr>
        <w:pStyle w:val="ListParagraph"/>
        <w:numPr>
          <w:ilvl w:val="1"/>
          <w:numId w:val="1"/>
        </w:numPr>
      </w:pPr>
      <w:r>
        <w:rPr>
          <w:i/>
          <w:iCs/>
        </w:rPr>
        <w:t xml:space="preserve">The Panel recommends amending the grading scale as found on page 8 of the syllabus, as it appears that the formatting may have been disturbed in the process of converting the file to a PDF or Word document. </w:t>
      </w:r>
    </w:p>
    <w:p w14:paraId="53A96BF2" w14:textId="09CDB984" w:rsidR="000E1979" w:rsidRPr="000E1979" w:rsidRDefault="000E1979" w:rsidP="008E232A">
      <w:pPr>
        <w:pStyle w:val="ListParagraph"/>
        <w:numPr>
          <w:ilvl w:val="1"/>
          <w:numId w:val="1"/>
        </w:numPr>
      </w:pPr>
      <w:r>
        <w:rPr>
          <w:i/>
          <w:iCs/>
        </w:rPr>
        <w:t xml:space="preserve">The Panel recommends updating the Student Life – Disability Services and Mental Health statements (as found on pages 12 and 13 of the syllabus), as they were updated at the beginning of the 2022-2023 Academic Year. The most up-to-date statements can be found on the ASC Curriculum and Assessment Services website at: </w:t>
      </w:r>
      <w:hyperlink r:id="rId8" w:history="1">
        <w:r w:rsidRPr="00DA53ED">
          <w:rPr>
            <w:rStyle w:val="Hyperlink"/>
            <w:i/>
            <w:iCs/>
          </w:rPr>
          <w:t>https://asccas.osu.edu/curriculum/syllabus-elements</w:t>
        </w:r>
      </w:hyperlink>
      <w:r>
        <w:rPr>
          <w:i/>
          <w:iCs/>
        </w:rPr>
        <w:t xml:space="preserve">. </w:t>
      </w:r>
    </w:p>
    <w:p w14:paraId="3452AD5C" w14:textId="0395A7F5" w:rsidR="000E1979" w:rsidRPr="000E1979" w:rsidRDefault="000E1979" w:rsidP="008E232A">
      <w:pPr>
        <w:pStyle w:val="ListParagraph"/>
        <w:numPr>
          <w:ilvl w:val="1"/>
          <w:numId w:val="1"/>
        </w:numPr>
      </w:pPr>
      <w:r>
        <w:lastRenderedPageBreak/>
        <w:t xml:space="preserve">Podalsky, Koehnlein, </w:t>
      </w:r>
      <w:r>
        <w:rPr>
          <w:b/>
          <w:bCs/>
        </w:rPr>
        <w:t xml:space="preserve">unanimously approved </w:t>
      </w:r>
      <w:r>
        <w:t xml:space="preserve">with one comment and </w:t>
      </w:r>
      <w:r>
        <w:rPr>
          <w:i/>
          <w:iCs/>
        </w:rPr>
        <w:t xml:space="preserve">three recommendations </w:t>
      </w:r>
      <w:r>
        <w:t xml:space="preserve">(in italics above) </w:t>
      </w:r>
    </w:p>
    <w:p w14:paraId="48E85BDE" w14:textId="3FBE89F9" w:rsidR="000E1979" w:rsidRDefault="000E1979" w:rsidP="000E1979">
      <w:pPr>
        <w:pStyle w:val="ListParagraph"/>
        <w:numPr>
          <w:ilvl w:val="0"/>
          <w:numId w:val="1"/>
        </w:numPr>
      </w:pPr>
      <w:r>
        <w:t xml:space="preserve">German 3317 (new course requesting GEN Foundation: Race, Ethnicity, and Gender Diversity) </w:t>
      </w:r>
    </w:p>
    <w:p w14:paraId="0BBFECD4" w14:textId="656192D8" w:rsidR="000E1979" w:rsidRPr="000E1979" w:rsidRDefault="000E1979" w:rsidP="000E1979">
      <w:pPr>
        <w:pStyle w:val="ListParagraph"/>
        <w:numPr>
          <w:ilvl w:val="1"/>
          <w:numId w:val="1"/>
        </w:numPr>
      </w:pPr>
      <w:r>
        <w:rPr>
          <w:b/>
          <w:bCs/>
        </w:rPr>
        <w:t xml:space="preserve">The Panel asks that the grade breakdown for the final portfolio and paper (as found on page 7 of the syllabus) </w:t>
      </w:r>
      <w:r w:rsidR="00EE426C">
        <w:rPr>
          <w:b/>
          <w:bCs/>
        </w:rPr>
        <w:t xml:space="preserve">be </w:t>
      </w:r>
      <w:r>
        <w:rPr>
          <w:b/>
          <w:bCs/>
        </w:rPr>
        <w:t xml:space="preserve">clarified. Specifically, they would like to see the final paper and portfolio listed independently in order to allow students to determine how much each of these is worth in their final grade. Additionally, they found the chart underneath the final portfolio titled “Portfolio Rubric/Checklist” breaking down points to be confusing, as the other sections utilize percentages and not points. They ask that this be clarified and, perhaps, broken down into percentages, should that be useful to the course proposer. </w:t>
      </w:r>
    </w:p>
    <w:p w14:paraId="526BDA41" w14:textId="6B4B599C" w:rsidR="000E1979" w:rsidRPr="008F7988" w:rsidRDefault="000E1979" w:rsidP="000E1979">
      <w:pPr>
        <w:pStyle w:val="ListParagraph"/>
        <w:numPr>
          <w:ilvl w:val="1"/>
          <w:numId w:val="1"/>
        </w:numPr>
      </w:pPr>
      <w:r>
        <w:rPr>
          <w:b/>
          <w:bCs/>
        </w:rPr>
        <w:t xml:space="preserve">The Panel asks that </w:t>
      </w:r>
      <w:r w:rsidR="00EE426C">
        <w:rPr>
          <w:b/>
          <w:bCs/>
        </w:rPr>
        <w:t xml:space="preserve">the </w:t>
      </w:r>
      <w:r>
        <w:rPr>
          <w:b/>
          <w:bCs/>
        </w:rPr>
        <w:t xml:space="preserve">“Homework, Presentation, and Quizzes” section on pages 5 and 6 of the course </w:t>
      </w:r>
      <w:proofErr w:type="gramStart"/>
      <w:r>
        <w:rPr>
          <w:b/>
          <w:bCs/>
        </w:rPr>
        <w:t>syllabus</w:t>
      </w:r>
      <w:proofErr w:type="gramEnd"/>
      <w:r>
        <w:rPr>
          <w:b/>
          <w:bCs/>
        </w:rPr>
        <w:t xml:space="preserve"> be broken </w:t>
      </w:r>
      <w:r w:rsidR="008F7988">
        <w:rPr>
          <w:b/>
          <w:bCs/>
        </w:rPr>
        <w:t xml:space="preserve">down to list, individually, how much the homework, presentation, and quizzes will be independently worth in a student’s final grade. </w:t>
      </w:r>
    </w:p>
    <w:p w14:paraId="2B7B70FC" w14:textId="22284E32" w:rsidR="008F7988" w:rsidRPr="008F7988" w:rsidRDefault="008F7988" w:rsidP="000E1979">
      <w:pPr>
        <w:pStyle w:val="ListParagraph"/>
        <w:numPr>
          <w:ilvl w:val="1"/>
          <w:numId w:val="1"/>
        </w:numPr>
      </w:pPr>
      <w:r>
        <w:rPr>
          <w:b/>
          <w:bCs/>
        </w:rPr>
        <w:t xml:space="preserve">The Panel asks that the GE Goals be added to the GE information on pages 1 and 2 of the </w:t>
      </w:r>
      <w:proofErr w:type="gramStart"/>
      <w:r>
        <w:rPr>
          <w:b/>
          <w:bCs/>
        </w:rPr>
        <w:t>syllabus</w:t>
      </w:r>
      <w:proofErr w:type="gramEnd"/>
      <w:r>
        <w:rPr>
          <w:b/>
          <w:bCs/>
        </w:rPr>
        <w:t xml:space="preserve">, as currently only the GE ELOs are listed. Per the ASCC, a GE course must have both the Goals and ELOs on all course syllabi requesting GE status. The Goals for the Race, Ethnicity, and Gender Diversity Category can be found on the ASC Curriculum and Assessment Services website at: </w:t>
      </w:r>
      <w:hyperlink r:id="rId9" w:history="1">
        <w:r w:rsidRPr="00DA53ED">
          <w:rPr>
            <w:rStyle w:val="Hyperlink"/>
            <w:b/>
            <w:bCs/>
          </w:rPr>
          <w:t>https://asccas.osu.edu/new-general-education-gen-goals-and-elos</w:t>
        </w:r>
      </w:hyperlink>
      <w:r>
        <w:rPr>
          <w:b/>
          <w:bCs/>
        </w:rPr>
        <w:t>.</w:t>
      </w:r>
    </w:p>
    <w:p w14:paraId="3F5382BF" w14:textId="3CEA8AAD" w:rsidR="008F7988" w:rsidRPr="008F7988" w:rsidRDefault="008F7988" w:rsidP="000E1979">
      <w:pPr>
        <w:pStyle w:val="ListParagraph"/>
        <w:numPr>
          <w:ilvl w:val="1"/>
          <w:numId w:val="1"/>
        </w:numPr>
      </w:pPr>
      <w:r>
        <w:rPr>
          <w:i/>
          <w:iCs/>
        </w:rPr>
        <w:t>The Panel recommends that the course goals and GE goals be more clearly labeled within the course syllabus, such as by adding “course” in front of the “Learning Goals” as found on page 2 of the syllabus.</w:t>
      </w:r>
    </w:p>
    <w:p w14:paraId="363CFAD6" w14:textId="77777777" w:rsidR="008F7988" w:rsidRPr="000E1979" w:rsidRDefault="008F7988" w:rsidP="008F7988">
      <w:pPr>
        <w:pStyle w:val="ListParagraph"/>
        <w:numPr>
          <w:ilvl w:val="1"/>
          <w:numId w:val="1"/>
        </w:numPr>
      </w:pPr>
      <w:r>
        <w:rPr>
          <w:i/>
          <w:iCs/>
        </w:rPr>
        <w:t xml:space="preserve">The Panel recommends updating the Student Life – Disability Services and Mental Health statements (as found on pages 12 and 13 of the syllabus), as they were updated at the beginning of the 2022-2023 Academic Year. The most up-to-date statements can be found on the ASC Curriculum and Assessment Services website at: </w:t>
      </w:r>
      <w:hyperlink r:id="rId10" w:history="1">
        <w:r w:rsidRPr="00DA53ED">
          <w:rPr>
            <w:rStyle w:val="Hyperlink"/>
            <w:i/>
            <w:iCs/>
          </w:rPr>
          <w:t>https://asccas.osu.edu/curriculum/syllabus-elements</w:t>
        </w:r>
      </w:hyperlink>
      <w:r>
        <w:rPr>
          <w:i/>
          <w:iCs/>
        </w:rPr>
        <w:t xml:space="preserve">. </w:t>
      </w:r>
    </w:p>
    <w:p w14:paraId="0CD6D85B" w14:textId="29189EED" w:rsidR="008F7988" w:rsidRPr="00045153" w:rsidRDefault="008F7988" w:rsidP="000E1979">
      <w:pPr>
        <w:pStyle w:val="ListParagraph"/>
        <w:numPr>
          <w:ilvl w:val="1"/>
          <w:numId w:val="1"/>
        </w:numPr>
      </w:pPr>
      <w:r>
        <w:t xml:space="preserve">Koehnlein, Blackburn, </w:t>
      </w:r>
      <w:r>
        <w:rPr>
          <w:b/>
          <w:bCs/>
        </w:rPr>
        <w:t xml:space="preserve">unanimously approved </w:t>
      </w:r>
      <w:r>
        <w:t xml:space="preserve">with </w:t>
      </w:r>
      <w:r>
        <w:rPr>
          <w:b/>
          <w:bCs/>
        </w:rPr>
        <w:t xml:space="preserve">three contingencies </w:t>
      </w:r>
      <w:r>
        <w:t xml:space="preserve">(in bold above) and </w:t>
      </w:r>
      <w:r>
        <w:rPr>
          <w:i/>
          <w:iCs/>
        </w:rPr>
        <w:t xml:space="preserve">two recommendations </w:t>
      </w:r>
      <w:r>
        <w:t xml:space="preserve">(in italics above) </w:t>
      </w:r>
    </w:p>
    <w:sectPr w:rsidR="008F7988" w:rsidRPr="00045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85043"/>
    <w:multiLevelType w:val="hybridMultilevel"/>
    <w:tmpl w:val="2FA076F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8662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53"/>
    <w:rsid w:val="00045153"/>
    <w:rsid w:val="000E1979"/>
    <w:rsid w:val="00211082"/>
    <w:rsid w:val="002977A5"/>
    <w:rsid w:val="003015F5"/>
    <w:rsid w:val="00366044"/>
    <w:rsid w:val="0044411F"/>
    <w:rsid w:val="006E0F8C"/>
    <w:rsid w:val="0088014E"/>
    <w:rsid w:val="008C0C29"/>
    <w:rsid w:val="008E232A"/>
    <w:rsid w:val="008F7988"/>
    <w:rsid w:val="00C1525E"/>
    <w:rsid w:val="00C8145D"/>
    <w:rsid w:val="00ED2784"/>
    <w:rsid w:val="00ED636A"/>
    <w:rsid w:val="00EE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ECFC"/>
  <w15:chartTrackingRefBased/>
  <w15:docId w15:val="{8A3D414C-DD4B-4E44-9ECB-FAA250C1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153"/>
    <w:pPr>
      <w:ind w:left="720"/>
      <w:contextualSpacing/>
    </w:pPr>
  </w:style>
  <w:style w:type="character" w:styleId="Hyperlink">
    <w:name w:val="Hyperlink"/>
    <w:basedOn w:val="DefaultParagraphFont"/>
    <w:uiPriority w:val="99"/>
    <w:unhideWhenUsed/>
    <w:rsid w:val="008E232A"/>
    <w:rPr>
      <w:color w:val="0563C1" w:themeColor="hyperlink"/>
      <w:u w:val="single"/>
    </w:rPr>
  </w:style>
  <w:style w:type="character" w:styleId="UnresolvedMention">
    <w:name w:val="Unresolved Mention"/>
    <w:basedOn w:val="DefaultParagraphFont"/>
    <w:uiPriority w:val="99"/>
    <w:semiHidden/>
    <w:unhideWhenUsed/>
    <w:rsid w:val="008E232A"/>
    <w:rPr>
      <w:color w:val="605E5C"/>
      <w:shd w:val="clear" w:color="auto" w:fill="E1DFDD"/>
    </w:rPr>
  </w:style>
  <w:style w:type="character" w:styleId="CommentReference">
    <w:name w:val="annotation reference"/>
    <w:basedOn w:val="DefaultParagraphFont"/>
    <w:uiPriority w:val="99"/>
    <w:semiHidden/>
    <w:unhideWhenUsed/>
    <w:rsid w:val="00C8145D"/>
    <w:rPr>
      <w:sz w:val="16"/>
      <w:szCs w:val="16"/>
    </w:rPr>
  </w:style>
  <w:style w:type="paragraph" w:styleId="CommentText">
    <w:name w:val="annotation text"/>
    <w:basedOn w:val="Normal"/>
    <w:link w:val="CommentTextChar"/>
    <w:uiPriority w:val="99"/>
    <w:unhideWhenUsed/>
    <w:rsid w:val="00C8145D"/>
    <w:pPr>
      <w:spacing w:line="240" w:lineRule="auto"/>
    </w:pPr>
    <w:rPr>
      <w:sz w:val="20"/>
      <w:szCs w:val="20"/>
    </w:rPr>
  </w:style>
  <w:style w:type="character" w:customStyle="1" w:styleId="CommentTextChar">
    <w:name w:val="Comment Text Char"/>
    <w:basedOn w:val="DefaultParagraphFont"/>
    <w:link w:val="CommentText"/>
    <w:uiPriority w:val="99"/>
    <w:rsid w:val="00C8145D"/>
    <w:rPr>
      <w:sz w:val="20"/>
      <w:szCs w:val="20"/>
    </w:rPr>
  </w:style>
  <w:style w:type="paragraph" w:styleId="CommentSubject">
    <w:name w:val="annotation subject"/>
    <w:basedOn w:val="CommentText"/>
    <w:next w:val="CommentText"/>
    <w:link w:val="CommentSubjectChar"/>
    <w:uiPriority w:val="99"/>
    <w:semiHidden/>
    <w:unhideWhenUsed/>
    <w:rsid w:val="00C8145D"/>
    <w:rPr>
      <w:b/>
      <w:bCs/>
    </w:rPr>
  </w:style>
  <w:style w:type="character" w:customStyle="1" w:styleId="CommentSubjectChar">
    <w:name w:val="Comment Subject Char"/>
    <w:basedOn w:val="CommentTextChar"/>
    <w:link w:val="CommentSubject"/>
    <w:uiPriority w:val="99"/>
    <w:semiHidden/>
    <w:rsid w:val="00C8145D"/>
    <w:rPr>
      <w:b/>
      <w:bCs/>
      <w:sz w:val="20"/>
      <w:szCs w:val="20"/>
    </w:rPr>
  </w:style>
  <w:style w:type="character" w:styleId="FollowedHyperlink">
    <w:name w:val="FollowedHyperlink"/>
    <w:basedOn w:val="DefaultParagraphFont"/>
    <w:uiPriority w:val="99"/>
    <w:semiHidden/>
    <w:unhideWhenUsed/>
    <w:rsid w:val="00EE426C"/>
    <w:rPr>
      <w:color w:val="954F72" w:themeColor="followedHyperlink"/>
      <w:u w:val="single"/>
    </w:rPr>
  </w:style>
  <w:style w:type="paragraph" w:styleId="Revision">
    <w:name w:val="Revision"/>
    <w:hidden/>
    <w:uiPriority w:val="99"/>
    <w:semiHidden/>
    <w:rsid w:val="00EE42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3" Type="http://schemas.openxmlformats.org/officeDocument/2006/relationships/settings" Target="settings.xml"/><Relationship Id="rId7" Type="http://schemas.openxmlformats.org/officeDocument/2006/relationships/hyperlink" Target="https://oaa.osu.edu/ge-course-submis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net.osu.edu/request/5163" TargetMode="External"/><Relationship Id="rId11" Type="http://schemas.openxmlformats.org/officeDocument/2006/relationships/fontTable" Target="fontTable.xml"/><Relationship Id="rId5" Type="http://schemas.openxmlformats.org/officeDocument/2006/relationships/hyperlink" Target="https://asccas.osu.edu/curriculum/syllabus-elements" TargetMode="External"/><Relationship Id="rId10"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hyperlink" Target="https://asccas.osu.edu/new-general-education-gen-goals-and-e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2023-09-06T18:51:00Z</dcterms:created>
  <dcterms:modified xsi:type="dcterms:W3CDTF">2023-09-06T18:51:00Z</dcterms:modified>
</cp:coreProperties>
</file>